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6158230" cy="711200"/>
                <wp:effectExtent b="0" l="0" r="0" t="0"/>
                <wp:docPr id="1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266875" y="3424400"/>
                          <a:ext cx="6158230" cy="711200"/>
                          <a:chOff x="2266875" y="3424400"/>
                          <a:chExt cx="6158250" cy="711200"/>
                        </a:xfrm>
                      </wpg:grpSpPr>
                      <wpg:grpSp>
                        <wpg:cNvGrpSpPr/>
                        <wpg:grpSpPr>
                          <a:xfrm>
                            <a:off x="2266885" y="3424400"/>
                            <a:ext cx="6158230" cy="711200"/>
                            <a:chOff x="0" y="0"/>
                            <a:chExt cx="9698" cy="112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9675" cy="1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894" y="0"/>
                              <a:ext cx="989" cy="10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5" name="Shape 5"/>
                          <wps:spPr>
                            <a:xfrm>
                              <a:off x="0" y="1110"/>
                              <a:ext cx="969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158230" cy="711200"/>
                <wp:effectExtent b="0" l="0" r="0" t="0"/>
                <wp:docPr id="1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8230" cy="711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90" w:lineRule="auto"/>
        <w:ind w:right="905" w:firstLine="245"/>
        <w:jc w:val="center"/>
        <w:rPr/>
      </w:pPr>
      <w:r w:rsidDel="00000000" w:rsidR="00000000" w:rsidRPr="00000000">
        <w:rPr>
          <w:rtl w:val="0"/>
        </w:rPr>
        <w:t xml:space="preserve">Образец на оферта по чл. 8, ал. 1 от ПМС №118/20.05.2014 г. за участие в процедура на “Избор с публична обява”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5422900</wp:posOffset>
            </wp:positionH>
            <wp:positionV relativeFrom="paragraph">
              <wp:posOffset>-962364</wp:posOffset>
            </wp:positionV>
            <wp:extent cx="1217192" cy="423481"/>
            <wp:effectExtent b="0" l="0" r="0" t="0"/>
            <wp:wrapNone/>
            <wp:docPr id="1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5714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</w:t>
      </w:r>
    </w:p>
    <w:p w:rsidR="00000000" w:rsidDel="00000000" w:rsidP="00000000" w:rsidRDefault="00000000" w:rsidRPr="00000000" w14:paraId="00000007">
      <w:pPr>
        <w:ind w:left="5714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„Уейстфул ООД“</w:t>
      </w:r>
    </w:p>
    <w:p w:rsidR="00000000" w:rsidDel="00000000" w:rsidP="00000000" w:rsidRDefault="00000000" w:rsidRPr="00000000" w14:paraId="00000008">
      <w:pPr>
        <w:ind w:left="5714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rtl w:val="0"/>
        </w:rPr>
        <w:t xml:space="preserve">гр. София 1619, бул Никола Петков 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ind w:right="903" w:firstLine="245"/>
        <w:jc w:val="center"/>
        <w:rPr/>
      </w:pPr>
      <w:r w:rsidDel="00000000" w:rsidR="00000000" w:rsidRPr="00000000">
        <w:rPr>
          <w:rtl w:val="0"/>
        </w:rPr>
        <w:t xml:space="preserve">О Ф Е Р Т А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  <w:sectPr>
          <w:footerReference r:id="rId10" w:type="default"/>
          <w:pgSz w:h="16850" w:w="11910" w:orient="portrait"/>
          <w:pgMar w:bottom="280" w:top="300" w:left="1000" w:right="3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90" w:lineRule="auto"/>
        <w:ind w:left="132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ОТ:....................................................</w:t>
        <w:br w:type="textWrapping"/>
      </w:r>
      <w:r w:rsidDel="00000000" w:rsidR="00000000" w:rsidRPr="00000000">
        <w:rPr>
          <w:sz w:val="18"/>
          <w:szCs w:val="18"/>
          <w:rtl w:val="0"/>
        </w:rPr>
        <w:t xml:space="preserve">(наименование на кандидата)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90" w:lineRule="auto"/>
        <w:ind w:left="132" w:firstLine="0"/>
        <w:rPr>
          <w:sz w:val="18"/>
          <w:szCs w:val="18"/>
        </w:rPr>
        <w:sectPr>
          <w:type w:val="continuous"/>
          <w:pgSz w:h="16850" w:w="11910" w:orient="portrait"/>
          <w:pgMar w:bottom="280" w:top="300" w:left="1000" w:right="340" w:header="720" w:footer="720"/>
          <w:cols w:equalWidth="0" w:num="2">
            <w:col w:space="3088" w:w="3741"/>
            <w:col w:space="0" w:w="3741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3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участие в процедура „Избор с публична обява“ за определяне на изпълнител с предмет: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spacing w:line="288" w:lineRule="auto"/>
        <w:ind w:left="340" w:right="240" w:firstLine="0"/>
        <w:jc w:val="center"/>
        <w:rPr/>
      </w:pPr>
      <w:r w:rsidDel="00000000" w:rsidR="00000000" w:rsidRPr="00000000">
        <w:rPr>
          <w:rtl w:val="0"/>
        </w:rPr>
        <w:t xml:space="preserve">„Машини за разработка на иновативни продукти от рециклирани пластмасови отпадъци за строителната индустрия“  </w:t>
      </w:r>
    </w:p>
    <w:p w:rsidR="00000000" w:rsidDel="00000000" w:rsidP="00000000" w:rsidRDefault="00000000" w:rsidRPr="00000000" w14:paraId="00000012">
      <w:pPr>
        <w:pStyle w:val="Heading1"/>
        <w:ind w:left="0" w:right="905" w:firstLine="0"/>
        <w:jc w:val="left"/>
        <w:rPr>
          <w:b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spacing w:after="0" w:before="0" w:line="240" w:lineRule="auto"/>
        <w:ind w:left="132" w:right="142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адрес: гр.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ул.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тел.: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факс: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e-mail: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ЕИК /Булстат: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485"/>
        </w:tabs>
        <w:spacing w:after="0" w:before="0" w:line="275" w:lineRule="auto"/>
        <w:ind w:left="1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представлявано от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в качеството му на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333"/>
        </w:tabs>
        <w:spacing w:after="0" w:before="0" w:line="275" w:lineRule="auto"/>
        <w:ind w:left="1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ind w:left="841" w:firstLine="0"/>
        <w:rPr/>
      </w:pPr>
      <w:r w:rsidDel="00000000" w:rsidR="00000000" w:rsidRPr="00000000">
        <w:rPr>
          <w:rtl w:val="0"/>
        </w:rPr>
        <w:t xml:space="preserve">УВАЖАЕМИ ГОСПОДА,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638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 настоящото Ви представяме нашата оферта за участие в обявената от Вас процедура за определяне на изпълнител с предмет:</w:t>
      </w:r>
    </w:p>
    <w:p w:rsidR="00000000" w:rsidDel="00000000" w:rsidP="00000000" w:rsidRDefault="00000000" w:rsidRPr="00000000" w14:paraId="0000001B">
      <w:pPr>
        <w:pStyle w:val="Heading1"/>
        <w:ind w:right="905" w:firstLine="245"/>
        <w:jc w:val="center"/>
        <w:rPr/>
      </w:pPr>
      <w:r w:rsidDel="00000000" w:rsidR="00000000" w:rsidRPr="00000000">
        <w:rPr>
          <w:rtl w:val="0"/>
        </w:rPr>
        <w:t xml:space="preserve">„Машини за разработка на иновативни продукти от рециклирани пластмасови отпадъци за строителната индустрия“ 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0" w:line="240" w:lineRule="auto"/>
        <w:ind w:left="132" w:right="78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79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132" w:right="791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Заявяваме, че при изпълнение на обекта на процедурата ще / няма да </w:t>
      </w:r>
      <w:r w:rsidDel="00000000" w:rsidR="00000000" w:rsidRPr="00000000">
        <w:rPr>
          <w:i w:val="1"/>
          <w:sz w:val="24"/>
          <w:szCs w:val="24"/>
          <w:rtl w:val="0"/>
        </w:rPr>
        <w:t xml:space="preserve">(невярното се зачертава) </w:t>
      </w:r>
      <w:r w:rsidDel="00000000" w:rsidR="00000000" w:rsidRPr="00000000">
        <w:rPr>
          <w:sz w:val="24"/>
          <w:szCs w:val="24"/>
          <w:rtl w:val="0"/>
        </w:rPr>
        <w:t xml:space="preserve">използваме подизпълнители.</w:t>
      </w:r>
    </w:p>
    <w:p w:rsidR="00000000" w:rsidDel="00000000" w:rsidP="00000000" w:rsidRDefault="00000000" w:rsidRPr="00000000" w14:paraId="0000002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18"/>
          <w:szCs w:val="18"/>
        </w:rPr>
        <w:sectPr>
          <w:type w:val="continuous"/>
          <w:pgSz w:h="16850" w:w="11910" w:orient="portrait"/>
          <w:pgMar w:bottom="280" w:top="300" w:left="1000" w:right="3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Предлагаме срок за изпълнение на предмета на процедурата от: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132" w:right="638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……. дни, считано от датата на подписване на договора за изпълнение.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132" w:firstLine="0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Декларираме, че представената от нас оферта е валидна до ………. от предоставянето й (</w:t>
      </w:r>
      <w:r w:rsidDel="00000000" w:rsidR="00000000" w:rsidRPr="00000000">
        <w:rPr>
          <w:i w:val="1"/>
          <w:sz w:val="24"/>
          <w:szCs w:val="24"/>
          <w:rtl w:val="0"/>
        </w:rPr>
        <w:t xml:space="preserve">посочва се срокът, определен от бенефициента в публичната обява).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ind w:left="3076" w:firstLine="0"/>
        <w:rPr/>
      </w:pPr>
      <w:r w:rsidDel="00000000" w:rsidR="00000000" w:rsidRPr="00000000">
        <w:rPr>
          <w:rtl w:val="0"/>
        </w:rPr>
        <w:t xml:space="preserve">ТЕХНИЧЕСКО ПРЕДЛОЖЕНИЕ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1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Относно изискванията и условията, свързани с изпълнението на предмета на настоящата процедура, ще изпълним следното: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95.0" w:type="dxa"/>
        <w:jc w:val="left"/>
        <w:tblInd w:w="2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00"/>
        <w:gridCol w:w="3540"/>
        <w:gridCol w:w="1455"/>
        <w:tblGridChange w:id="0">
          <w:tblGrid>
            <w:gridCol w:w="5100"/>
            <w:gridCol w:w="3540"/>
            <w:gridCol w:w="1455"/>
          </w:tblGrid>
        </w:tblGridChange>
      </w:tblGrid>
      <w:tr>
        <w:trPr>
          <w:cantSplit w:val="0"/>
          <w:trHeight w:val="875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79" w:lineRule="auto"/>
              <w:ind w:left="94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79" w:lineRule="auto"/>
              <w:ind w:left="942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„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Уейстфул ООД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79" w:lineRule="auto"/>
              <w:ind w:left="94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наименование на бенефициента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213" w:right="204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Предложение на кандидата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86" w:lineRule="auto"/>
              <w:ind w:left="213" w:right="204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Марка/модел/производител/технически характеристики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64" w:lineRule="auto"/>
              <w:ind w:left="264" w:right="90" w:hanging="142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Забележка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64" w:lineRule="auto"/>
              <w:ind w:left="264" w:right="90" w:hanging="142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има покрити технически спецификации за разработка на машините</w:t>
            </w:r>
          </w:p>
          <w:p w:rsidR="00000000" w:rsidDel="00000000" w:rsidP="00000000" w:rsidRDefault="00000000" w:rsidRPr="00000000" w14:paraId="00000039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се изградят и тестват компонентите на машините, дефинирани и одобрени спрямо техническите спецификации</w:t>
            </w:r>
          </w:p>
          <w:p w:rsidR="00000000" w:rsidDel="00000000" w:rsidP="00000000" w:rsidRDefault="00000000" w:rsidRPr="00000000" w14:paraId="0000003A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обучи персонала на за работа с новите машини при бенефициента;  да се извършват тестове за приемане на машините и действителното преминаване на работа в новата производствена среда - в рамките на 3 работни дни</w:t>
            </w:r>
          </w:p>
          <w:p w:rsidR="00000000" w:rsidDel="00000000" w:rsidP="00000000" w:rsidRDefault="00000000" w:rsidRPr="00000000" w14:paraId="0000003B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стартира реална работа с машините; да оказва съдействие при първият месец на реална работа с машините;</w:t>
            </w:r>
          </w:p>
          <w:p w:rsidR="00000000" w:rsidDel="00000000" w:rsidP="00000000" w:rsidRDefault="00000000" w:rsidRPr="00000000" w14:paraId="0000003C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има приложени референции от клиенти за реализирани проекти</w:t>
            </w:r>
          </w:p>
          <w:p w:rsidR="00000000" w:rsidDel="00000000" w:rsidP="00000000" w:rsidRDefault="00000000" w:rsidRPr="00000000" w14:paraId="0000003D">
            <w:pPr>
              <w:spacing w:line="234" w:lineRule="auto"/>
              <w:ind w:left="112" w:firstLine="0"/>
              <w:rPr/>
            </w:pPr>
            <w:r w:rsidDel="00000000" w:rsidR="00000000" w:rsidRPr="00000000">
              <w:rPr>
                <w:rtl w:val="0"/>
              </w:rPr>
              <w:t xml:space="preserve"> Да бъде предоставен софтуерният код за програмиране на машините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highlight w:val="yellow"/>
        </w:rPr>
        <w:sectPr>
          <w:headerReference r:id="rId11" w:type="default"/>
          <w:footerReference r:id="rId12" w:type="default"/>
          <w:type w:val="nextPage"/>
          <w:pgSz w:h="16850" w:w="11910" w:orient="portrait"/>
          <w:pgMar w:bottom="1380" w:top="1660" w:left="1000" w:right="340" w:header="301" w:footer="119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05.0" w:type="dxa"/>
        <w:jc w:val="left"/>
        <w:tblInd w:w="2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69"/>
        <w:gridCol w:w="4179"/>
        <w:gridCol w:w="957"/>
        <w:tblGridChange w:id="0">
          <w:tblGrid>
            <w:gridCol w:w="4469"/>
            <w:gridCol w:w="4179"/>
            <w:gridCol w:w="957"/>
          </w:tblGrid>
        </w:tblGridChange>
      </w:tblGrid>
      <w:tr>
        <w:trPr>
          <w:cantSplit w:val="0"/>
          <w:trHeight w:val="123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08"/>
                <w:tab w:val="left" w:pos="2686"/>
                <w:tab w:val="left" w:pos="3145"/>
              </w:tabs>
              <w:spacing w:after="0" w:before="0" w:line="240" w:lineRule="auto"/>
              <w:ind w:left="0" w:right="92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Допълнително описание: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08"/>
                <w:tab w:val="left" w:pos="2686"/>
                <w:tab w:val="left" w:pos="3145"/>
              </w:tabs>
              <w:spacing w:after="0" w:before="0" w:line="240" w:lineRule="auto"/>
              <w:ind w:left="720" w:right="92" w:hanging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описание и параметри на компютърна система (хардуер и софтуер) за автономно управление, програмиране и статистика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5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08"/>
                <w:tab w:val="left" w:pos="2686"/>
                <w:tab w:val="left" w:pos="3145"/>
              </w:tabs>
              <w:spacing w:after="0" w:before="0" w:line="240" w:lineRule="auto"/>
              <w:ind w:left="0" w:right="92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Гаранционни условия 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08"/>
                <w:tab w:val="left" w:pos="2686"/>
                <w:tab w:val="left" w:pos="3145"/>
              </w:tabs>
              <w:spacing w:after="0" w:before="0" w:line="240" w:lineRule="auto"/>
              <w:ind w:left="110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08"/>
                <w:tab w:val="left" w:pos="2686"/>
                <w:tab w:val="left" w:pos="3145"/>
              </w:tabs>
              <w:spacing w:after="0" w:before="0" w:line="240" w:lineRule="auto"/>
              <w:ind w:left="110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машините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обект на процедурата трябва да бъде осигурен срок на гаранционно обслужване не по-малък от 36 месеца от дата на подписване на приемо-предавателен протокол.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108"/>
                <w:tab w:val="left" w:pos="2686"/>
                <w:tab w:val="left" w:pos="3145"/>
              </w:tabs>
              <w:spacing w:after="0" w:before="0" w:line="240" w:lineRule="auto"/>
              <w:ind w:left="110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периода на гаранционната поддръжка се отстраняват проблеми в рамките на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работни дни, считано от деня на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писмено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уведомяване от страна на Бенефициента.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93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Изисквания към документацията, съпровождаща изпълнението на предмета на процедурата (ако е приложимо):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05.0" w:type="dxa"/>
        <w:jc w:val="left"/>
        <w:tblInd w:w="2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69"/>
        <w:gridCol w:w="4179"/>
        <w:gridCol w:w="957"/>
        <w:tblGridChange w:id="0">
          <w:tblGrid>
            <w:gridCol w:w="4469"/>
            <w:gridCol w:w="4179"/>
            <w:gridCol w:w="957"/>
          </w:tblGrid>
        </w:tblGridChange>
      </w:tblGrid>
      <w:tr>
        <w:trPr>
          <w:cantSplit w:val="0"/>
          <w:trHeight w:val="1338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Машините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трябва да бъд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ат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придружен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от съответната документация – инструкции за инсталация и употреба. 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4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8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Изисквания за обучение на персонала на бенефициента за експлоатация: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13"/>
                <w:tab w:val="left" w:pos="2949"/>
                <w:tab w:val="left" w:pos="3537"/>
              </w:tabs>
              <w:spacing w:after="0" w:before="0" w:line="264" w:lineRule="auto"/>
              <w:ind w:left="110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Изпълнителят</w:t>
              <w:tab/>
              <w:t xml:space="preserve">трябва</w:t>
              <w:tab/>
              <w:t xml:space="preserve">да</w:t>
              <w:tab/>
              <w:t xml:space="preserve">осигури обучение на персонала на бенефициента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работа с доставеното оборудване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6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Подпомагащи дейности и условия от бенефициента (ако е приложимо)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Съгласно методиката за оценка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0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Други: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1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64" w:lineRule="auto"/>
        <w:ind w:left="132" w:right="79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1"/>
        <w:spacing w:before="90" w:lineRule="auto"/>
        <w:ind w:left="3412" w:firstLine="0"/>
        <w:rPr/>
      </w:pPr>
      <w:r w:rsidDel="00000000" w:rsidR="00000000" w:rsidRPr="00000000">
        <w:rPr>
          <w:rtl w:val="0"/>
        </w:rPr>
        <w:t xml:space="preserve">ЦЕНОВО ПРЕДЛОЖЕНИЕ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132" w:firstLine="0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І. ЦЕНА И УСЛОВИЯ НА ДОСТАВКА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before="92" w:lineRule="auto"/>
        <w:ind w:left="132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Изпълнението на предмета на процедурата ще извършим при следните цени: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925.0" w:type="dxa"/>
        <w:jc w:val="left"/>
        <w:tblInd w:w="14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28"/>
        <w:gridCol w:w="3826"/>
        <w:gridCol w:w="967"/>
        <w:gridCol w:w="2292"/>
        <w:gridCol w:w="2412"/>
        <w:tblGridChange w:id="0">
          <w:tblGrid>
            <w:gridCol w:w="428"/>
            <w:gridCol w:w="3826"/>
            <w:gridCol w:w="967"/>
            <w:gridCol w:w="2292"/>
            <w:gridCol w:w="2412"/>
          </w:tblGrid>
        </w:tblGridChange>
      </w:tblGrid>
      <w:tr>
        <w:trPr>
          <w:cantSplit w:val="0"/>
          <w:trHeight w:val="520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29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Описание на доставките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К-во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/бр./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4" w:right="199" w:hanging="56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Единична цена в лева без ДДС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3" w:right="270" w:hanging="70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Обща цена в лева без ДДС</w:t>
            </w:r>
          </w:p>
        </w:tc>
      </w:tr>
      <w:tr>
        <w:trPr>
          <w:cantSplit w:val="0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0" w:right="8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before="1" w:lineRule="auto"/>
              <w:ind w:left="107" w:right="265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Агрегат за изсушаване, нагряване и пластификация на рециклиран композитен материал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0" w:right="41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0" w:right="8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before="1" w:lineRule="auto"/>
              <w:ind w:left="107" w:right="265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Хидравличен агрегат за нагряване и формоване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0" w:right="41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0" w:right="8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before="1" w:lineRule="auto"/>
              <w:ind w:left="107" w:right="265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Матрица за оформяне на готов продукт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1" w:lineRule="auto"/>
              <w:ind w:left="0" w:right="41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pStyle w:val="Heading1"/>
        <w:spacing w:before="138" w:lineRule="auto"/>
        <w:ind w:left="132" w:firstLine="0"/>
        <w:rPr/>
      </w:pPr>
      <w:r w:rsidDel="00000000" w:rsidR="00000000" w:rsidRPr="00000000">
        <w:rPr>
          <w:rtl w:val="0"/>
        </w:rPr>
        <w:t xml:space="preserve">За изпълнение предмета на процедурата в съответствие с условията на настоящата процедура, общата цена  на нашата оферта възлиза на: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pos="3336"/>
          <w:tab w:val="left" w:pos="8398"/>
        </w:tabs>
        <w:ind w:left="132" w:right="2165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Цифром: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Словом: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 (посочва се цифром и словом стойността без ДДС)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left="132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ІІ. НАЧИН НА ПЛАЩАНЕ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Предлаганият от нас начин на плащане е, както следва: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pos="829"/>
        </w:tabs>
        <w:ind w:left="828" w:right="97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…………………………………..</w:t>
      </w:r>
    </w:p>
    <w:p w:rsidR="00000000" w:rsidDel="00000000" w:rsidP="00000000" w:rsidRDefault="00000000" w:rsidRPr="00000000" w14:paraId="0000008C">
      <w:pPr>
        <w:tabs>
          <w:tab w:val="left" w:pos="842"/>
        </w:tabs>
        <w:ind w:right="788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2" w:right="638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2" w:right="638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2" w:right="638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2" w:right="638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2" w:right="638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2" w:right="63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При разминаване между предложените единична и обща цена, валидна ще бъде общата цена на офертата.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При несъответствие между сумата, написана с цифри, и тази, написана с думи, важи сумата, написана с думи.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Като </w:t>
      </w:r>
      <w:r w:rsidDel="00000000" w:rsidR="00000000" w:rsidRPr="00000000">
        <w:rPr>
          <w:sz w:val="24"/>
          <w:szCs w:val="24"/>
          <w:rtl w:val="0"/>
        </w:rPr>
        <w:t xml:space="preserve">неразделна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част от настоящата Оферта, прилагаме следните документи: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1"/>
          <w:tab w:val="left" w:pos="842"/>
        </w:tabs>
        <w:spacing w:after="0" w:before="90" w:line="240" w:lineRule="auto"/>
        <w:ind w:left="841" w:right="0" w:hanging="7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с посочване на ЕИК/Удостоверение за актуално състояние;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1"/>
          <w:tab w:val="left" w:pos="842"/>
        </w:tabs>
        <w:spacing w:after="0" w:before="0" w:line="240" w:lineRule="auto"/>
        <w:ind w:left="841" w:right="0" w:hanging="7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по чл. 22, ал. 2, т. 1 от ПМС № 118 от 20.05.2014 г.;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1"/>
          <w:tab w:val="left" w:pos="842"/>
        </w:tabs>
        <w:spacing w:after="0" w:before="0" w:line="240" w:lineRule="auto"/>
        <w:ind w:left="132" w:right="79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Договор/споразумение за създаване на обединение за участие в процедурата (в случай че кандидатът е обединение);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1"/>
          <w:tab w:val="left" w:pos="842"/>
        </w:tabs>
        <w:spacing w:after="0" w:before="0" w:line="240" w:lineRule="auto"/>
        <w:ind w:left="841" w:right="0" w:hanging="71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Доказателства за икономическо и финансово състояние – НЕ Е ПРИЛОЖИМО;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spacing w:after="0" w:before="0" w:line="240" w:lineRule="auto"/>
        <w:ind w:left="132" w:right="79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Доказателства</w:t>
        <w:tab/>
        <w:t xml:space="preserve">за</w:t>
        <w:tab/>
        <w:t xml:space="preserve">технически</w:t>
        <w:tab/>
        <w:t xml:space="preserve">възможности</w:t>
        <w:tab/>
        <w:t xml:space="preserve">и/или</w:t>
        <w:tab/>
        <w:t xml:space="preserve">квалификация</w:t>
        <w:tab/>
        <w:t xml:space="preserve">–</w:t>
        <w:tab/>
        <w:t xml:space="preserve">НЕ</w:t>
        <w:tab/>
        <w:t xml:space="preserve">Е ПРИЛОЖИМО;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2"/>
        </w:tabs>
        <w:spacing w:after="0" w:before="0" w:line="240" w:lineRule="auto"/>
        <w:ind w:left="132" w:right="79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42"/>
        </w:tabs>
        <w:spacing w:after="0" w:before="0" w:line="240" w:lineRule="auto"/>
        <w:ind w:left="841" w:right="0" w:hanging="71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Документи по т. 1 и 2 за всеки от подизпълнителите в съответствие с Постановление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№118 на Министерския съвет от 2014 г. (когато се предвижда участието на подизпълнители);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1"/>
        <w:tabs>
          <w:tab w:val="left" w:pos="2559"/>
          <w:tab w:val="left" w:pos="4381"/>
          <w:tab w:val="left" w:pos="9357"/>
        </w:tabs>
        <w:spacing w:before="230" w:lineRule="auto"/>
        <w:ind w:left="132" w:firstLine="0"/>
        <w:jc w:val="both"/>
        <w:rPr>
          <w:b w:val="0"/>
        </w:rPr>
      </w:pPr>
      <w:r w:rsidDel="00000000" w:rsidR="00000000" w:rsidRPr="00000000">
        <w:rPr>
          <w:rtl w:val="0"/>
        </w:rPr>
        <w:t xml:space="preserve">ДАТА: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г.</w:t>
        <w:tab/>
        <w:t xml:space="preserve">ПОДПИС и ПЕЧАТ:</w:t>
      </w:r>
      <w:r w:rsidDel="00000000" w:rsidR="00000000" w:rsidRPr="00000000">
        <w:rPr>
          <w:b w:val="0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165100</wp:posOffset>
                </wp:positionV>
                <wp:extent cx="1270" cy="12700"/>
                <wp:effectExtent b="0" l="0" r="0" t="0"/>
                <wp:wrapTopAndBottom distB="0" distT="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707700" y="3779365"/>
                          <a:ext cx="3276600" cy="1270"/>
                        </a:xfrm>
                        <a:custGeom>
                          <a:rect b="b" l="l" r="r" t="t"/>
                          <a:pathLst>
                            <a:path extrusionOk="0" h="120000"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165100</wp:posOffset>
                </wp:positionV>
                <wp:extent cx="1270" cy="12700"/>
                <wp:effectExtent b="0" l="0" r="0" t="0"/>
                <wp:wrapTopAndBottom distB="0" distT="0"/>
                <wp:docPr id="1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6">
      <w:pPr>
        <w:spacing w:line="248.00000000000006" w:lineRule="auto"/>
        <w:ind w:left="245" w:right="587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sz w:val="18"/>
          <w:szCs w:val="18"/>
          <w:rtl w:val="0"/>
        </w:rPr>
        <w:t xml:space="preserve">име и фамилия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165100</wp:posOffset>
                </wp:positionV>
                <wp:extent cx="1270" cy="12700"/>
                <wp:effectExtent b="0" l="0" r="0" t="0"/>
                <wp:wrapTopAndBottom distB="0" distT="0"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774500" y="3779365"/>
                          <a:ext cx="1143000" cy="1270"/>
                        </a:xfrm>
                        <a:custGeom>
                          <a:rect b="b" l="l" r="r" t="t"/>
                          <a:pathLst>
                            <a:path extrusionOk="0" h="120000"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165100</wp:posOffset>
                </wp:positionV>
                <wp:extent cx="1270" cy="12700"/>
                <wp:effectExtent b="0" l="0" r="0" t="0"/>
                <wp:wrapTopAndBottom distB="0" distT="0"/>
                <wp:docPr id="1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8">
      <w:pPr>
        <w:spacing w:line="248.00000000000006" w:lineRule="auto"/>
        <w:ind w:left="4453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sz w:val="18"/>
          <w:szCs w:val="18"/>
          <w:rtl w:val="0"/>
        </w:rPr>
        <w:t xml:space="preserve">длъжност на представляващия кандидата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sectPr>
      <w:type w:val="nextPage"/>
      <w:pgSz w:h="16850" w:w="11910" w:orient="portrait"/>
      <w:pgMar w:bottom="1380" w:top="1660" w:left="1000" w:right="340" w:header="301" w:footer="119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9918700</wp:posOffset>
              </wp:positionV>
              <wp:extent cx="6543675" cy="1019175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2078925" y="3275175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2.000000476837158" w:line="243.99999618530273"/>
                            <w:ind w:left="20" w:right="17.999999523162842" w:firstLine="12.000000476837158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Проект 2021/587865 „Better Cutting Means Less Waste“ се реализира с финансовата подкрепа на Норвежкия Финансов Механизъм 2014-2021 в рамките на Приоритетна област „Иновации за зелена индустрия“ (Mалка грантова схема) на  Програма „Развитие на бизнеса, иновациите и МСП“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12.000000476837158" w:line="243.99999618530273"/>
                            <w:ind w:left="20" w:right="17.999999523162842" w:firstLine="12.000000476837158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12.000000476837158" w:line="243.99999618530273"/>
                            <w:ind w:left="20" w:right="17.999999523162842" w:firstLine="12.000000476837158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9918700</wp:posOffset>
              </wp:positionV>
              <wp:extent cx="6543675" cy="1019175"/>
              <wp:effectExtent b="0" l="0" r="0" t="0"/>
              <wp:wrapNone/>
              <wp:docPr id="1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43675" cy="10191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63500</wp:posOffset>
              </wp:positionH>
              <wp:positionV relativeFrom="paragraph">
                <wp:posOffset>9321800</wp:posOffset>
              </wp:positionV>
              <wp:extent cx="6350" cy="12700"/>
              <wp:effectExtent b="0" l="0" r="0" t="0"/>
              <wp:wrapNone/>
              <wp:docPr id="15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2266885" y="3776825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63500</wp:posOffset>
              </wp:positionH>
              <wp:positionV relativeFrom="paragraph">
                <wp:posOffset>9321800</wp:posOffset>
              </wp:positionV>
              <wp:extent cx="6350" cy="12700"/>
              <wp:effectExtent b="0" l="0" r="0" t="0"/>
              <wp:wrapNone/>
              <wp:docPr id="15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jc w:val="center"/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Проект “2021/335080, “Development of innovative green products by recycled plastic waste for the construction industry“.</w:t>
    </w:r>
  </w:p>
  <w:p w:rsidR="00000000" w:rsidDel="00000000" w:rsidP="00000000" w:rsidRDefault="00000000" w:rsidRPr="00000000" w14:paraId="000000AD">
    <w:pPr>
      <w:jc w:val="center"/>
      <w:rPr/>
    </w:pPr>
    <w:r w:rsidDel="00000000" w:rsidR="00000000" w:rsidRPr="00000000">
      <w:rPr>
        <w:sz w:val="18"/>
        <w:szCs w:val="18"/>
        <w:rtl w:val="0"/>
      </w:rPr>
      <w:t xml:space="preserve">се реализира с финансовата подкрепа на Норвежкия Финансов Механизъм 2014-2021 в рамките на Приоритетна област “Иновации за зелена индустрия” (Малка грантова схема) на Програма “Развитие на бизнеса, иновациите и МСП”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b="0" l="0" r="0" t="0"/>
          <wp:wrapNone/>
          <wp:docPr id="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b="0" l="0" r="0" t="0"/>
          <wp:wrapNone/>
          <wp:docPr id="1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841" w:hanging="709.0000000000001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812" w:hanging="709.0000000000002"/>
      </w:pPr>
      <w:rPr/>
    </w:lvl>
    <w:lvl w:ilvl="2">
      <w:start w:val="0"/>
      <w:numFmt w:val="bullet"/>
      <w:lvlText w:val="•"/>
      <w:lvlJc w:val="left"/>
      <w:pPr>
        <w:ind w:left="2785" w:hanging="709"/>
      </w:pPr>
      <w:rPr/>
    </w:lvl>
    <w:lvl w:ilvl="3">
      <w:start w:val="0"/>
      <w:numFmt w:val="bullet"/>
      <w:lvlText w:val="•"/>
      <w:lvlJc w:val="left"/>
      <w:pPr>
        <w:ind w:left="3757" w:hanging="709.0000000000005"/>
      </w:pPr>
      <w:rPr/>
    </w:lvl>
    <w:lvl w:ilvl="4">
      <w:start w:val="0"/>
      <w:numFmt w:val="bullet"/>
      <w:lvlText w:val="•"/>
      <w:lvlJc w:val="left"/>
      <w:pPr>
        <w:ind w:left="4730" w:hanging="709"/>
      </w:pPr>
      <w:rPr/>
    </w:lvl>
    <w:lvl w:ilvl="5">
      <w:start w:val="0"/>
      <w:numFmt w:val="bullet"/>
      <w:lvlText w:val="•"/>
      <w:lvlJc w:val="left"/>
      <w:pPr>
        <w:ind w:left="5703" w:hanging="709"/>
      </w:pPr>
      <w:rPr/>
    </w:lvl>
    <w:lvl w:ilvl="6">
      <w:start w:val="0"/>
      <w:numFmt w:val="bullet"/>
      <w:lvlText w:val="•"/>
      <w:lvlJc w:val="left"/>
      <w:pPr>
        <w:ind w:left="6675" w:hanging="709"/>
      </w:pPr>
      <w:rPr/>
    </w:lvl>
    <w:lvl w:ilvl="7">
      <w:start w:val="0"/>
      <w:numFmt w:val="bullet"/>
      <w:lvlText w:val="•"/>
      <w:lvlJc w:val="left"/>
      <w:pPr>
        <w:ind w:left="7648" w:hanging="709"/>
      </w:pPr>
      <w:rPr/>
    </w:lvl>
    <w:lvl w:ilvl="8">
      <w:start w:val="0"/>
      <w:numFmt w:val="bullet"/>
      <w:lvlText w:val="•"/>
      <w:lvlJc w:val="left"/>
      <w:pPr>
        <w:ind w:left="8621" w:hanging="709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45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paragraph" w:styleId="Heading1">
    <w:name w:val="heading 1"/>
    <w:basedOn w:val="Normal"/>
    <w:uiPriority w:val="1"/>
    <w:qFormat w:val="1"/>
    <w:pPr>
      <w:ind w:left="245"/>
      <w:outlineLvl w:val="0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841" w:hanging="710"/>
    </w:pPr>
  </w:style>
  <w:style w:type="paragraph" w:styleId="TableParagraph" w:customStyle="1">
    <w:name w:val="Table Paragraph"/>
    <w:basedOn w:val="Normal"/>
    <w:uiPriority w:val="1"/>
    <w:qFormat w:val="1"/>
    <w:pPr>
      <w:ind w:left="110"/>
    </w:pPr>
  </w:style>
  <w:style w:type="paragraph" w:styleId="Header">
    <w:name w:val="header"/>
    <w:basedOn w:val="Normal"/>
    <w:link w:val="HeaderChar"/>
    <w:uiPriority w:val="99"/>
    <w:unhideWhenUsed w:val="1"/>
    <w:rsid w:val="003F4242"/>
    <w:pPr>
      <w:tabs>
        <w:tab w:val="center" w:pos="4703"/>
        <w:tab w:val="right" w:pos="94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F4242"/>
    <w:rPr>
      <w:rFonts w:ascii="Times New Roman" w:cs="Times New Roman" w:eastAsia="Times New Roman" w:hAnsi="Times New Roman"/>
      <w:lang w:val="bg-BG"/>
    </w:rPr>
  </w:style>
  <w:style w:type="paragraph" w:styleId="Footer">
    <w:name w:val="footer"/>
    <w:basedOn w:val="Normal"/>
    <w:link w:val="FooterChar"/>
    <w:uiPriority w:val="99"/>
    <w:unhideWhenUsed w:val="1"/>
    <w:rsid w:val="003F4242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F4242"/>
    <w:rPr>
      <w:rFonts w:ascii="Times New Roman" w:cs="Times New Roman" w:eastAsia="Times New Roman" w:hAnsi="Times New Roman"/>
      <w:lang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footer" Target="footer2.xml"/><Relationship Id="rId13" Type="http://schemas.openxmlformats.org/officeDocument/2006/relationships/image" Target="media/image4.png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14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Br6FkJzT8ECZVjAxUrYDmDmZig==">AMUW2mWSiBBleuOhbMXnu5ZjhhWTXxPadbL0D1EiMftviM39zEQkGeHZ1+RUDPqUfNEKEw6AxtIoptF7bjIbC+DMxEN1+fXpGbMBySnr9MDWHTCGzT1WGzOpxy0I4hdPNBYHLLQdU+iK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2022-02-21T08:24:00Z</dcterms:created>
  <dc:creator>Nikolay Parushev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